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D844EA" w:rsidRPr="00FA7C59" w:rsidTr="009B4256">
        <w:tc>
          <w:tcPr>
            <w:tcW w:w="10775" w:type="dxa"/>
            <w:shd w:val="clear" w:color="auto" w:fill="auto"/>
          </w:tcPr>
          <w:p w:rsidR="00D844EA" w:rsidRPr="00FA7C59" w:rsidRDefault="00D844EA" w:rsidP="009B4256">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الخامس عشر</w:t>
            </w:r>
          </w:p>
          <w:p w:rsidR="00D844EA" w:rsidRPr="00FA7C59" w:rsidRDefault="00D844EA" w:rsidP="009B4256">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التدريب والإيفاد</w:t>
            </w:r>
          </w:p>
          <w:p w:rsidR="00D844EA" w:rsidRPr="00FA7C59" w:rsidRDefault="00D844EA" w:rsidP="009B4256">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D844EA" w:rsidRPr="00FA7C59" w:rsidRDefault="00D844EA" w:rsidP="009B4256">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وضع برامج التدريب والإيفاد المرتكزات الأساسية التالية:-</w:t>
            </w:r>
          </w:p>
          <w:p w:rsidR="00D844EA" w:rsidRPr="00FA7C59" w:rsidRDefault="00D844EA" w:rsidP="00D844EA">
            <w:pPr>
              <w:pStyle w:val="ListParagraph"/>
              <w:numPr>
                <w:ilvl w:val="0"/>
                <w:numId w:val="2"/>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D844EA" w:rsidRPr="00FA7C59" w:rsidRDefault="00D844EA" w:rsidP="00D844EA">
            <w:pPr>
              <w:numPr>
                <w:ilvl w:val="0"/>
                <w:numId w:val="2"/>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ملاءمة هذه البرامج لمتطلبات وتوجهات رفع كفاءة الأداء وتطويره</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2"/>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2"/>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D844EA" w:rsidRPr="00FA7C59" w:rsidRDefault="00D844EA" w:rsidP="009B4256">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تعزيز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D844EA" w:rsidRPr="00FA7C59" w:rsidRDefault="00D844EA" w:rsidP="009B4256">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D844EA" w:rsidRPr="00FA7C59" w:rsidRDefault="00D844EA" w:rsidP="009B4256">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D844EA" w:rsidRDefault="00D844EA" w:rsidP="009B4256">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D844EA" w:rsidRPr="008A2002" w:rsidRDefault="00D844EA" w:rsidP="009B4256">
            <w:pPr>
              <w:spacing w:after="0"/>
              <w:ind w:left="1694" w:hanging="383"/>
              <w:jc w:val="lowKashida"/>
              <w:rPr>
                <w:rFonts w:ascii="Times New Roman" w:eastAsia="Times New Roman" w:hAnsi="Times New Roman" w:cs="Times New Roman"/>
                <w:b/>
                <w:bCs/>
                <w:color w:val="FF0000"/>
                <w:sz w:val="32"/>
                <w:szCs w:val="32"/>
                <w:rtl/>
                <w:lang w:bidi="ar-SA"/>
              </w:rPr>
            </w:pPr>
            <w:r w:rsidRPr="008A2002">
              <w:rPr>
                <w:rFonts w:ascii="Times New Roman" w:eastAsia="Times New Roman" w:hAnsi="Times New Roman" w:cs="Times New Roman" w:hint="cs"/>
                <w:b/>
                <w:bCs/>
                <w:color w:val="FF0000"/>
                <w:sz w:val="32"/>
                <w:szCs w:val="32"/>
                <w:rtl/>
                <w:lang w:bidi="ar-SA"/>
              </w:rPr>
              <w:t xml:space="preserve">و- </w:t>
            </w:r>
            <w:r w:rsidRPr="008A2002">
              <w:rPr>
                <w:rFonts w:ascii="Times New Roman" w:eastAsia="Times New Roman" w:hAnsi="Times New Roman" w:cs="Times New Roman"/>
                <w:b/>
                <w:bCs/>
                <w:color w:val="FF0000"/>
                <w:sz w:val="32"/>
                <w:szCs w:val="32"/>
                <w:rtl/>
                <w:lang w:bidi="ar-SA"/>
              </w:rPr>
              <w:t xml:space="preserve"> </w:t>
            </w:r>
            <w:r w:rsidRPr="008A2002">
              <w:rPr>
                <w:color w:val="FF0000"/>
                <w:rtl/>
              </w:rPr>
              <w:t xml:space="preserve"> </w:t>
            </w:r>
            <w:r w:rsidRPr="008A2002">
              <w:rPr>
                <w:rFonts w:ascii="Times New Roman" w:eastAsia="Times New Roman" w:hAnsi="Times New Roman" w:cs="Times New Roman"/>
                <w:b/>
                <w:bCs/>
                <w:color w:val="FF0000"/>
                <w:sz w:val="32"/>
                <w:szCs w:val="32"/>
                <w:rtl/>
                <w:lang w:bidi="ar-SA"/>
              </w:rPr>
              <w:t>تلتزم الدائرة بإلحاق موظفيها بالبرامج التدريبية ضمن المسارات التدريبية المعتمدة التي يعقدها المعهد ضمن مجال الإدارة العامة.</w:t>
            </w:r>
          </w:p>
          <w:p w:rsidR="00D844EA" w:rsidRPr="00FA7C59" w:rsidRDefault="00D844EA" w:rsidP="009B4256">
            <w:pPr>
              <w:spacing w:after="0" w:line="240" w:lineRule="auto"/>
              <w:ind w:left="1694" w:hanging="540"/>
              <w:jc w:val="lowKashida"/>
              <w:rPr>
                <w:rFonts w:ascii="Times New Roman" w:eastAsia="Times New Roman" w:hAnsi="Times New Roman" w:cs="Times New Roman"/>
                <w:b/>
                <w:bCs/>
                <w:color w:val="000000"/>
                <w:sz w:val="32"/>
                <w:szCs w:val="32"/>
                <w:rtl/>
                <w:lang w:bidi="ar-SA"/>
              </w:rPr>
            </w:pPr>
          </w:p>
          <w:p w:rsidR="00D844EA" w:rsidRPr="00FA7C59" w:rsidRDefault="00D844EA" w:rsidP="009B4256">
            <w:pPr>
              <w:spacing w:after="0" w:line="240" w:lineRule="auto"/>
              <w:ind w:left="1694" w:hanging="540"/>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3"/>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D844EA" w:rsidRPr="00FA7C59" w:rsidRDefault="00D844EA" w:rsidP="00D844EA">
            <w:pPr>
              <w:numPr>
                <w:ilvl w:val="0"/>
                <w:numId w:val="3"/>
              </w:numPr>
              <w:spacing w:after="0" w:line="240" w:lineRule="auto"/>
              <w:ind w:left="17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وضع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وكفاءتها.</w:t>
            </w:r>
          </w:p>
          <w:p w:rsidR="00D844EA" w:rsidRPr="00FA7C59" w:rsidRDefault="00D844EA" w:rsidP="009B4256">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متابعة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D844EA" w:rsidRPr="00FA7C59" w:rsidRDefault="00D844EA" w:rsidP="009B4256">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التزام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اللجنة المركزية للبعثات والدورات</w:t>
            </w:r>
          </w:p>
          <w:p w:rsidR="00D844EA" w:rsidRPr="00FA7C59" w:rsidRDefault="00D844EA" w:rsidP="009B4256">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D844EA" w:rsidRPr="00FA7C59" w:rsidRDefault="00D844EA" w:rsidP="009B4256">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4"/>
              </w:numPr>
              <w:tabs>
                <w:tab w:val="clear" w:pos="1710"/>
                <w:tab w:val="num" w:pos="2056"/>
              </w:tabs>
              <w:bidi/>
              <w:ind w:left="1914" w:hanging="283"/>
              <w:jc w:val="lowKashida"/>
              <w:rPr>
                <w:b/>
                <w:bCs/>
                <w:color w:val="000000"/>
                <w:sz w:val="32"/>
                <w:szCs w:val="32"/>
              </w:rPr>
            </w:pPr>
            <w:r w:rsidRPr="00FA7C59">
              <w:rPr>
                <w:b/>
                <w:bCs/>
                <w:color w:val="000000"/>
                <w:sz w:val="32"/>
                <w:szCs w:val="32"/>
                <w:rtl/>
              </w:rPr>
              <w:t>وزارة التخطيط والتعاون الدولي.</w:t>
            </w:r>
          </w:p>
          <w:p w:rsidR="00D844EA" w:rsidRPr="00FA7C59" w:rsidRDefault="00D844EA" w:rsidP="00D844EA">
            <w:pPr>
              <w:numPr>
                <w:ilvl w:val="0"/>
                <w:numId w:val="4"/>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التعليم العالي والبحث العلمي</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4"/>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D844EA" w:rsidRPr="00FA7C59" w:rsidRDefault="00D844EA" w:rsidP="00D844EA">
            <w:pPr>
              <w:numPr>
                <w:ilvl w:val="0"/>
                <w:numId w:val="4"/>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D844EA" w:rsidRPr="00FA7C59" w:rsidRDefault="00D844EA" w:rsidP="00D844EA">
            <w:pPr>
              <w:numPr>
                <w:ilvl w:val="0"/>
                <w:numId w:val="4"/>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مندوب عن الدائرة المعنية يسميه الوزير</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يتولى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D844EA" w:rsidRPr="00FA7C59" w:rsidRDefault="00D844EA" w:rsidP="009B4256">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والصلاحيات التالية:</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إعداد التعليمات الخاصة بإيفاد الموظفين للبعثات والدورات التي تتضمن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اتخاذ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والعملية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أوالمطالبة، ولا يجوز لأي جهة أخرى اتخاذ تلك القرارات أو الإجراءات أو القيام بأي منها.</w:t>
            </w:r>
          </w:p>
          <w:p w:rsidR="00D844EA" w:rsidRPr="00FA7C59" w:rsidRDefault="00D844EA" w:rsidP="009B4256">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على رفع كفاءة الموظفين وتطوير العمل</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D844EA" w:rsidRPr="00FA7C59" w:rsidRDefault="00D844EA" w:rsidP="009B4256">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124- تتولى الدائرة مهمة وضع خطط وبرامج التدريب للموظف ومتابعة تنفيذها بما يتفق والمسار التدريبي بالتعاون مع المعهد.</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r w:rsidR="00D844EA" w:rsidRPr="00FA7C59" w:rsidTr="009B4256">
        <w:tc>
          <w:tcPr>
            <w:tcW w:w="10775" w:type="dxa"/>
            <w:shd w:val="clear" w:color="auto" w:fill="auto"/>
          </w:tcPr>
          <w:p w:rsidR="00D844EA" w:rsidRPr="00FA7C59" w:rsidRDefault="00D844EA" w:rsidP="009B4256">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r w:rsidR="00D844EA" w:rsidRPr="00FA7C59" w:rsidTr="009B4256">
        <w:tc>
          <w:tcPr>
            <w:tcW w:w="10775" w:type="dxa"/>
            <w:shd w:val="clear" w:color="auto" w:fill="auto"/>
          </w:tcPr>
          <w:p w:rsidR="00D844EA" w:rsidRPr="00FA7C59" w:rsidRDefault="00D844EA" w:rsidP="009B4256">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5"/>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D844EA" w:rsidRPr="00FA7C59" w:rsidRDefault="00D844EA" w:rsidP="00D844EA">
            <w:pPr>
              <w:numPr>
                <w:ilvl w:val="0"/>
                <w:numId w:val="5"/>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النظام والذي تتطلبه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D844EA" w:rsidRPr="00FA7C59" w:rsidRDefault="00D844EA" w:rsidP="00D844EA">
            <w:pPr>
              <w:numPr>
                <w:ilvl w:val="0"/>
                <w:numId w:val="5"/>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خلال سنة ال</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r w:rsidR="00D844EA" w:rsidRPr="00FA7C59" w:rsidTr="009B4256">
        <w:tc>
          <w:tcPr>
            <w:tcW w:w="10775" w:type="dxa"/>
            <w:shd w:val="clear" w:color="auto" w:fill="auto"/>
          </w:tcPr>
          <w:p w:rsidR="00D844EA" w:rsidRPr="00FA7C59" w:rsidRDefault="00D844EA" w:rsidP="009B4256">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1"/>
                <w:numId w:val="1"/>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D844EA" w:rsidRPr="00FA7C59" w:rsidRDefault="00D844EA" w:rsidP="00D844EA">
            <w:pPr>
              <w:pStyle w:val="ListParagraph"/>
              <w:numPr>
                <w:ilvl w:val="1"/>
                <w:numId w:val="1"/>
              </w:numPr>
              <w:bidi/>
              <w:ind w:left="2056" w:hanging="283"/>
              <w:jc w:val="lowKashida"/>
              <w:rPr>
                <w:b/>
                <w:bCs/>
                <w:color w:val="000000"/>
                <w:sz w:val="32"/>
                <w:szCs w:val="32"/>
              </w:rPr>
            </w:pPr>
            <w:r w:rsidRPr="00FA7C59">
              <w:rPr>
                <w:b/>
                <w:bCs/>
                <w:color w:val="000000"/>
                <w:sz w:val="32"/>
                <w:szCs w:val="32"/>
                <w:rtl/>
              </w:rPr>
              <w:t>حاصلاً على المؤهل العلمي الذي حددت فئته او وضعه الوظيفي على أساسه وفقا لأحكام هذا النظام والذي تتطلبه الدورة</w:t>
            </w:r>
            <w:r w:rsidRPr="00FA7C59">
              <w:rPr>
                <w:b/>
                <w:bCs/>
                <w:color w:val="000000"/>
                <w:sz w:val="32"/>
                <w:szCs w:val="32"/>
              </w:rPr>
              <w:t>.</w:t>
            </w:r>
          </w:p>
          <w:p w:rsidR="00D844EA" w:rsidRPr="00FA7C59" w:rsidRDefault="00D844EA" w:rsidP="00D844EA">
            <w:pPr>
              <w:pStyle w:val="ListParagraph"/>
              <w:numPr>
                <w:ilvl w:val="1"/>
                <w:numId w:val="1"/>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D844EA" w:rsidRPr="00FA7C59" w:rsidRDefault="00D844EA" w:rsidP="00D844EA">
            <w:pPr>
              <w:pStyle w:val="ListParagraph"/>
              <w:numPr>
                <w:ilvl w:val="1"/>
                <w:numId w:val="1"/>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D844EA" w:rsidRPr="00FA7C59" w:rsidRDefault="00D844EA" w:rsidP="00D844EA">
            <w:pPr>
              <w:pStyle w:val="ListParagraph"/>
              <w:numPr>
                <w:ilvl w:val="1"/>
                <w:numId w:val="1"/>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D844EA" w:rsidRPr="00FA7C59" w:rsidRDefault="00D844EA" w:rsidP="009B4256">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D844EA" w:rsidRPr="00FA7C59" w:rsidRDefault="00D844EA" w:rsidP="009B4256">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تحدد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6"/>
              </w:numPr>
              <w:bidi/>
              <w:jc w:val="lowKashida"/>
              <w:rPr>
                <w:b/>
                <w:bCs/>
                <w:color w:val="000000"/>
                <w:sz w:val="32"/>
                <w:szCs w:val="32"/>
              </w:rPr>
            </w:pPr>
            <w:r w:rsidRPr="00FA7C59">
              <w:rPr>
                <w:b/>
                <w:bCs/>
                <w:color w:val="000000"/>
                <w:sz w:val="32"/>
                <w:szCs w:val="32"/>
                <w:rtl/>
              </w:rPr>
              <w:t>سنتان للشهادة الجامعية الثانية</w:t>
            </w:r>
            <w:r w:rsidRPr="00FA7C59">
              <w:rPr>
                <w:b/>
                <w:bCs/>
                <w:color w:val="000000"/>
                <w:sz w:val="32"/>
                <w:szCs w:val="32"/>
              </w:rPr>
              <w:t>.</w:t>
            </w:r>
          </w:p>
          <w:p w:rsidR="00D844EA" w:rsidRPr="00FA7C59" w:rsidRDefault="00D844EA" w:rsidP="00D844EA">
            <w:pPr>
              <w:numPr>
                <w:ilvl w:val="0"/>
                <w:numId w:val="6"/>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أربع سنوات للشهادة الجامعية الثالثة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D844EA" w:rsidRPr="00FA7C59" w:rsidRDefault="00D844EA" w:rsidP="009B4256">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الحد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ولاسباب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D844EA" w:rsidRPr="00FA7C59" w:rsidRDefault="00D844EA" w:rsidP="009B4256">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D844EA" w:rsidRPr="00FA7C59" w:rsidRDefault="00D844EA" w:rsidP="009B4256">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D844EA" w:rsidRPr="00FA7C59" w:rsidRDefault="00D844EA" w:rsidP="009B4256">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باحكام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D844EA" w:rsidRPr="00FA7C59" w:rsidRDefault="00D844EA" w:rsidP="009B4256">
            <w:pPr>
              <w:spacing w:after="0" w:line="240" w:lineRule="auto"/>
              <w:jc w:val="lowKashida"/>
              <w:rPr>
                <w:rFonts w:ascii="Times New Roman" w:hAnsi="Times New Roman" w:cs="Times New Roman"/>
                <w:b/>
                <w:bCs/>
                <w:color w:val="000000"/>
                <w:sz w:val="30"/>
                <w:szCs w:val="30"/>
                <w:rtl/>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لرئيس الديوان تفويض أي من موظفي الديوان بتوقيع العقد المنصوص عليه في الفقرة (أ) من هذه المادة مع الموفد وكفيله أمام الكاتب العدل.</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بالخدمة 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D844EA" w:rsidRPr="00FA7C59" w:rsidRDefault="00D844EA" w:rsidP="009B4256">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D844EA" w:rsidRPr="00FA7C59" w:rsidRDefault="00D844EA" w:rsidP="009B4256">
            <w:pPr>
              <w:spacing w:after="0" w:line="240" w:lineRule="auto"/>
              <w:jc w:val="lowKashida"/>
              <w:rPr>
                <w:rFonts w:ascii="Times New Roman" w:eastAsia="Times New Roman" w:hAnsi="Times New Roman" w:cs="Times New Roman"/>
                <w:b/>
                <w:bCs/>
                <w:color w:val="000000"/>
                <w:sz w:val="32"/>
                <w:szCs w:val="32"/>
                <w:rtl/>
                <w:lang w:bidi="ar-SA"/>
              </w:rPr>
            </w:pPr>
          </w:p>
          <w:p w:rsidR="00D844EA" w:rsidRPr="00FA7C59" w:rsidRDefault="00D844EA" w:rsidP="009B4256">
            <w:pPr>
              <w:spacing w:after="0" w:line="240" w:lineRule="auto"/>
              <w:jc w:val="lowKashida"/>
              <w:rPr>
                <w:rFonts w:ascii="Times New Roman" w:eastAsia="Times New Roman" w:hAnsi="Times New Roman" w:cs="Times New Roman"/>
                <w:b/>
                <w:bCs/>
                <w:color w:val="000000"/>
                <w:sz w:val="32"/>
                <w:szCs w:val="32"/>
                <w:rtl/>
                <w:lang w:bidi="ar-SA"/>
              </w:rPr>
            </w:pPr>
          </w:p>
          <w:p w:rsidR="00D844EA" w:rsidRPr="00FA7C59" w:rsidRDefault="00D844EA" w:rsidP="009B4256">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باستثناء العلاوة الاشرافية وعلاوة الموقع.</w:t>
            </w:r>
          </w:p>
          <w:p w:rsidR="00D844EA" w:rsidRPr="00FA7C59" w:rsidRDefault="00D844EA" w:rsidP="009B4256">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D844EA" w:rsidRPr="00FA7C59" w:rsidRDefault="00D844EA" w:rsidP="009B4256">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تطبق على الموفد أحكام نظام الانتقال والسفر المعمول به في الحالات التي لم يرد عليها نص في هذا النظام.</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تقارير تثبت مواظبته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عليها في كل فصل أو سنة دراسية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يحرم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إدعاء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7"/>
              </w:numPr>
              <w:bidi/>
              <w:jc w:val="lowKashida"/>
              <w:rPr>
                <w:b/>
                <w:bCs/>
                <w:color w:val="000000"/>
                <w:sz w:val="32"/>
                <w:szCs w:val="32"/>
                <w:rtl/>
              </w:rPr>
            </w:pPr>
            <w:r w:rsidRPr="00FA7C59">
              <w:rPr>
                <w:b/>
                <w:bCs/>
                <w:color w:val="000000"/>
                <w:sz w:val="32"/>
                <w:szCs w:val="32"/>
                <w:rtl/>
              </w:rPr>
              <w:t>أن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D844EA" w:rsidRPr="00FA7C59" w:rsidRDefault="00D844EA" w:rsidP="00D844EA">
            <w:pPr>
              <w:numPr>
                <w:ilvl w:val="0"/>
                <w:numId w:val="7"/>
              </w:numPr>
              <w:spacing w:after="0" w:line="240" w:lineRule="auto"/>
              <w:ind w:left="2056" w:hanging="36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الموفد قد تقدم لتلك الامتحانات أو لأي منها حسب مقتضى الحال.</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136-  تحقيقاً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D844EA" w:rsidRPr="00FA7C59" w:rsidTr="009B4256">
        <w:tc>
          <w:tcPr>
            <w:tcW w:w="10775" w:type="dxa"/>
            <w:shd w:val="clear" w:color="auto" w:fill="auto"/>
          </w:tcPr>
          <w:p w:rsidR="00D844EA" w:rsidRPr="00FA7C59" w:rsidRDefault="00D844EA" w:rsidP="009B4256">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D844EA" w:rsidRPr="00FA7C59" w:rsidRDefault="00D844EA" w:rsidP="009B4256">
            <w:pPr>
              <w:spacing w:after="0" w:line="240" w:lineRule="auto"/>
              <w:jc w:val="lowKashida"/>
              <w:rPr>
                <w:rFonts w:ascii="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D844EA" w:rsidRPr="00FA7C59" w:rsidRDefault="00D844EA" w:rsidP="009B4256">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D844EA" w:rsidRPr="00FA7C59" w:rsidTr="009B4256">
        <w:tc>
          <w:tcPr>
            <w:tcW w:w="10775" w:type="dxa"/>
            <w:shd w:val="clear" w:color="auto" w:fill="auto"/>
          </w:tcPr>
          <w:p w:rsidR="00D844EA" w:rsidRPr="00FA7C59" w:rsidRDefault="00D844EA" w:rsidP="009B4256">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D844EA" w:rsidRPr="00FA7C59" w:rsidRDefault="00D844EA" w:rsidP="009B4256">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D844EA">
            <w:pPr>
              <w:pStyle w:val="ListParagraph"/>
              <w:numPr>
                <w:ilvl w:val="0"/>
                <w:numId w:val="8"/>
              </w:numPr>
              <w:tabs>
                <w:tab w:val="clear" w:pos="1440"/>
                <w:tab w:val="num" w:pos="1773"/>
              </w:tabs>
              <w:bidi/>
              <w:ind w:left="1914" w:hanging="283"/>
              <w:jc w:val="lowKashida"/>
              <w:rPr>
                <w:b/>
                <w:bCs/>
                <w:color w:val="000000"/>
                <w:sz w:val="32"/>
                <w:szCs w:val="32"/>
                <w:rtl/>
              </w:rPr>
            </w:pPr>
            <w:r w:rsidRPr="00FA7C59">
              <w:rPr>
                <w:b/>
                <w:bCs/>
                <w:color w:val="000000"/>
                <w:sz w:val="32"/>
                <w:szCs w:val="32"/>
                <w:rtl/>
              </w:rPr>
              <w:t>إذا انتهت أو أنهيت خدمة الموظف في غير الحالات المنصوص عليها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D844EA" w:rsidRPr="00FA7C59" w:rsidRDefault="00D844EA" w:rsidP="00D844EA">
            <w:pPr>
              <w:numPr>
                <w:ilvl w:val="0"/>
                <w:numId w:val="8"/>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r w:rsidR="00D844EA" w:rsidRPr="00FA7C59" w:rsidTr="009B4256">
        <w:tc>
          <w:tcPr>
            <w:tcW w:w="10775" w:type="dxa"/>
            <w:shd w:val="clear" w:color="auto" w:fill="auto"/>
          </w:tcPr>
          <w:p w:rsidR="00D844EA" w:rsidRPr="00FA7C59" w:rsidRDefault="00D844EA" w:rsidP="009B4256">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D844EA" w:rsidRPr="00FA7C59" w:rsidRDefault="00D844EA" w:rsidP="009B4256">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الدورة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إكماله السن القانونية</w:t>
            </w:r>
            <w:r w:rsidRPr="00FA7C59">
              <w:rPr>
                <w:rFonts w:ascii="Times New Roman" w:eastAsia="Times New Roman" w:hAnsi="Times New Roman" w:cs="Times New Roman"/>
                <w:b/>
                <w:bCs/>
                <w:color w:val="000000"/>
                <w:sz w:val="32"/>
                <w:szCs w:val="32"/>
                <w:lang w:bidi="ar-SA"/>
              </w:rPr>
              <w:t>.</w:t>
            </w:r>
          </w:p>
          <w:p w:rsidR="00D844EA" w:rsidRPr="00FA7C59" w:rsidRDefault="00D844EA" w:rsidP="009B4256">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خدمته بالتسريح وفقاً لأحكام هذا النظام.</w:t>
            </w:r>
          </w:p>
          <w:p w:rsidR="00D844EA" w:rsidRPr="00FA7C59" w:rsidRDefault="00D844EA" w:rsidP="009B4256">
            <w:pPr>
              <w:spacing w:after="0" w:line="240" w:lineRule="auto"/>
              <w:jc w:val="lowKashida"/>
              <w:rPr>
                <w:rFonts w:ascii="Times New Roman" w:hAnsi="Times New Roman" w:cs="Times New Roman"/>
                <w:b/>
                <w:bCs/>
                <w:color w:val="000000"/>
                <w:sz w:val="32"/>
                <w:szCs w:val="32"/>
                <w:rtl/>
              </w:rPr>
            </w:pPr>
          </w:p>
        </w:tc>
      </w:tr>
    </w:tbl>
    <w:p w:rsidR="000122DD" w:rsidRDefault="000122DD">
      <w:bookmarkStart w:id="0" w:name="_GoBack"/>
      <w:bookmarkEnd w:id="0"/>
    </w:p>
    <w:sectPr w:rsidR="000122DD" w:rsidSect="00102FDE">
      <w:pgSz w:w="11909" w:h="16834" w:code="9"/>
      <w:pgMar w:top="1440" w:right="1800" w:bottom="1440" w:left="1800" w:header="720" w:footer="720" w:gutter="0"/>
      <w:cols w:space="720"/>
      <w:bidi/>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 w15:restartNumberingAfterBreak="0">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 w15:restartNumberingAfterBreak="0">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EA"/>
    <w:rsid w:val="000122DD"/>
    <w:rsid w:val="00102FDE"/>
    <w:rsid w:val="005F5E63"/>
    <w:rsid w:val="00D8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E811-539D-4719-BABE-921038E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Theme="minorHAnsi" w:hAnsi="Simplified Arabic" w:cs="Simplified Arabic"/>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EA"/>
    <w:pPr>
      <w:bidi/>
      <w:spacing w:after="200" w:line="276" w:lineRule="auto"/>
    </w:pPr>
    <w:rPr>
      <w:rFonts w:ascii="Calibri" w:eastAsia="Calibri" w:hAnsi="Calibri" w:cs="Arial"/>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EA"/>
    <w:pPr>
      <w:bidi w:val="0"/>
      <w:spacing w:after="0" w:line="240" w:lineRule="auto"/>
      <w:ind w:left="72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14353</Characters>
  <Application>Microsoft Office Word</Application>
  <DocSecurity>0</DocSecurity>
  <Lines>119</Lines>
  <Paragraphs>33</Paragraphs>
  <ScaleCrop>false</ScaleCrop>
  <Company>MOE</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Gassan Abdussallam</dc:creator>
  <cp:keywords/>
  <dc:description/>
  <cp:lastModifiedBy>Gassan Abdussallam</cp:lastModifiedBy>
  <cp:revision>1</cp:revision>
  <dcterms:created xsi:type="dcterms:W3CDTF">2022-03-02T11:23:00Z</dcterms:created>
  <dcterms:modified xsi:type="dcterms:W3CDTF">2022-03-02T11:23:00Z</dcterms:modified>
</cp:coreProperties>
</file>